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FFBF1" w14:textId="2FBA620F" w:rsidR="00AE455A" w:rsidRPr="00200E29" w:rsidRDefault="00927D14" w:rsidP="004644AD">
      <w:pPr>
        <w:pStyle w:val="H1Title"/>
      </w:pPr>
      <w:r>
        <w:t>Road Test Work Plan 4</w:t>
      </w:r>
      <w:r w:rsidR="00AD4395">
        <w:t xml:space="preserve"> </w:t>
      </w:r>
    </w:p>
    <w:p w14:paraId="78B3A955" w14:textId="14B88290" w:rsidR="00AE455A" w:rsidRDefault="00927D14" w:rsidP="00927D14">
      <w:pPr>
        <w:spacing w:line="240" w:lineRule="auto"/>
        <w:ind w:firstLine="0"/>
      </w:pPr>
      <w:r>
        <w:t xml:space="preserve"> </w:t>
      </w:r>
      <w:r w:rsidR="00AE455A">
        <w:t xml:space="preserve"> </w:t>
      </w:r>
    </w:p>
    <w:p w14:paraId="1F742AC6" w14:textId="77777777" w:rsidR="00200E29" w:rsidRDefault="00200E29" w:rsidP="00200E29">
      <w:pPr>
        <w:spacing w:line="240" w:lineRule="auto"/>
        <w:ind w:firstLine="0"/>
      </w:pPr>
    </w:p>
    <w:p w14:paraId="4699C260" w14:textId="77777777" w:rsidR="00AE455A" w:rsidRDefault="00AE455A" w:rsidP="004E4F3D">
      <w:pPr>
        <w:pStyle w:val="AcknowledgmentnoTOC"/>
      </w:pPr>
      <w:r>
        <w:t xml:space="preserve">Findings: </w:t>
      </w:r>
    </w:p>
    <w:p w14:paraId="13C2AB8D" w14:textId="77777777" w:rsidR="00A73E60" w:rsidRPr="00AE455A" w:rsidRDefault="00AE455A" w:rsidP="00AE455A">
      <w:pPr>
        <w:numPr>
          <w:ilvl w:val="0"/>
          <w:numId w:val="34"/>
        </w:numPr>
        <w:spacing w:line="240" w:lineRule="auto"/>
      </w:pPr>
      <w:r w:rsidRPr="00AE455A">
        <w:rPr>
          <w:bCs/>
        </w:rPr>
        <w:t>Leadership and staff are highly capable and motivated</w:t>
      </w:r>
    </w:p>
    <w:p w14:paraId="2E3C0F6C" w14:textId="77777777" w:rsidR="00A73E60" w:rsidRPr="00AE455A" w:rsidRDefault="00AE455A" w:rsidP="00AE455A">
      <w:pPr>
        <w:numPr>
          <w:ilvl w:val="0"/>
          <w:numId w:val="34"/>
        </w:numPr>
        <w:spacing w:line="240" w:lineRule="auto"/>
      </w:pPr>
      <w:r w:rsidRPr="00AE455A">
        <w:rPr>
          <w:bCs/>
        </w:rPr>
        <w:t>Staff are committed to the work and believe in clients’ ability to change</w:t>
      </w:r>
    </w:p>
    <w:p w14:paraId="51287BD9" w14:textId="77777777" w:rsidR="00A73E60" w:rsidRPr="00AE455A" w:rsidRDefault="00AE455A" w:rsidP="00AE455A">
      <w:pPr>
        <w:numPr>
          <w:ilvl w:val="0"/>
          <w:numId w:val="34"/>
        </w:numPr>
        <w:spacing w:line="240" w:lineRule="auto"/>
      </w:pPr>
      <w:r w:rsidRPr="00AE455A">
        <w:rPr>
          <w:bCs/>
        </w:rPr>
        <w:t>Thoughtful segmentation of the caseload</w:t>
      </w:r>
    </w:p>
    <w:p w14:paraId="192416F7" w14:textId="77777777" w:rsidR="00A73E60" w:rsidRPr="00AE455A" w:rsidRDefault="00AE455A" w:rsidP="00AE455A">
      <w:pPr>
        <w:numPr>
          <w:ilvl w:val="0"/>
          <w:numId w:val="34"/>
        </w:numPr>
        <w:spacing w:line="240" w:lineRule="auto"/>
      </w:pPr>
      <w:r w:rsidRPr="00AE455A">
        <w:rPr>
          <w:bCs/>
        </w:rPr>
        <w:t>Some goal-setting is taking place already</w:t>
      </w:r>
    </w:p>
    <w:p w14:paraId="1891C11F" w14:textId="77777777" w:rsidR="00A73E60" w:rsidRPr="00AE455A" w:rsidRDefault="00AE455A" w:rsidP="00AE455A">
      <w:pPr>
        <w:numPr>
          <w:ilvl w:val="0"/>
          <w:numId w:val="34"/>
        </w:numPr>
        <w:spacing w:line="240" w:lineRule="auto"/>
      </w:pPr>
      <w:r w:rsidRPr="00AE455A">
        <w:rPr>
          <w:bCs/>
        </w:rPr>
        <w:t>Good balance of case management and other work</w:t>
      </w:r>
    </w:p>
    <w:p w14:paraId="2AAA8F5D" w14:textId="77777777" w:rsidR="00A73E60" w:rsidRPr="00AE455A" w:rsidRDefault="00AE455A" w:rsidP="00AE455A">
      <w:pPr>
        <w:numPr>
          <w:ilvl w:val="0"/>
          <w:numId w:val="34"/>
        </w:numPr>
        <w:spacing w:line="240" w:lineRule="auto"/>
      </w:pPr>
      <w:r w:rsidRPr="00AE455A">
        <w:rPr>
          <w:bCs/>
        </w:rPr>
        <w:t>Some operations could be streamlined or simplified</w:t>
      </w:r>
    </w:p>
    <w:p w14:paraId="6C4AB91A" w14:textId="77777777" w:rsidR="00A73E60" w:rsidRPr="00AE455A" w:rsidRDefault="00AE455A" w:rsidP="00AE455A">
      <w:pPr>
        <w:numPr>
          <w:ilvl w:val="1"/>
          <w:numId w:val="34"/>
        </w:numPr>
        <w:spacing w:line="240" w:lineRule="auto"/>
      </w:pPr>
      <w:r w:rsidRPr="00AE455A">
        <w:rPr>
          <w:bCs/>
        </w:rPr>
        <w:t xml:space="preserve">Orientation </w:t>
      </w:r>
    </w:p>
    <w:p w14:paraId="09ABFDE1" w14:textId="77777777" w:rsidR="00A73E60" w:rsidRPr="00AE455A" w:rsidRDefault="00AE455A" w:rsidP="00AE455A">
      <w:pPr>
        <w:numPr>
          <w:ilvl w:val="1"/>
          <w:numId w:val="34"/>
        </w:numPr>
        <w:spacing w:line="240" w:lineRule="auto"/>
      </w:pPr>
      <w:r w:rsidRPr="00AE455A">
        <w:rPr>
          <w:bCs/>
        </w:rPr>
        <w:t>All case managers holding orientation slot</w:t>
      </w:r>
    </w:p>
    <w:p w14:paraId="263755B7" w14:textId="77777777" w:rsidR="00A73E60" w:rsidRPr="00AE455A" w:rsidRDefault="00AE455A" w:rsidP="00AE455A">
      <w:pPr>
        <w:numPr>
          <w:ilvl w:val="1"/>
          <w:numId w:val="34"/>
        </w:numPr>
        <w:spacing w:line="240" w:lineRule="auto"/>
      </w:pPr>
      <w:r w:rsidRPr="00AE455A">
        <w:rPr>
          <w:bCs/>
        </w:rPr>
        <w:t>Assigning case managers before an assessment of client needs</w:t>
      </w:r>
    </w:p>
    <w:p w14:paraId="33E01111" w14:textId="77777777" w:rsidR="00A73E60" w:rsidRPr="00AE455A" w:rsidRDefault="00AE455A" w:rsidP="00AE455A">
      <w:pPr>
        <w:numPr>
          <w:ilvl w:val="1"/>
          <w:numId w:val="34"/>
        </w:numPr>
        <w:spacing w:line="240" w:lineRule="auto"/>
      </w:pPr>
      <w:r w:rsidRPr="00AE455A">
        <w:rPr>
          <w:bCs/>
        </w:rPr>
        <w:t>Redundant assessments</w:t>
      </w:r>
    </w:p>
    <w:p w14:paraId="35FB8CDF" w14:textId="77777777" w:rsidR="00A73E60" w:rsidRPr="00766D50" w:rsidRDefault="00AE455A" w:rsidP="00AE455A">
      <w:pPr>
        <w:numPr>
          <w:ilvl w:val="1"/>
          <w:numId w:val="34"/>
        </w:numPr>
        <w:spacing w:line="240" w:lineRule="auto"/>
      </w:pPr>
      <w:r w:rsidRPr="00AE455A">
        <w:rPr>
          <w:bCs/>
        </w:rPr>
        <w:t>Rotating workshops across units and staff</w:t>
      </w:r>
    </w:p>
    <w:p w14:paraId="0E581CBC" w14:textId="77777777" w:rsidR="00766D50" w:rsidRPr="004626EF" w:rsidRDefault="00766D50" w:rsidP="00766D50">
      <w:pPr>
        <w:spacing w:line="240" w:lineRule="auto"/>
        <w:ind w:left="1440" w:firstLine="0"/>
      </w:pPr>
    </w:p>
    <w:p w14:paraId="655303FA" w14:textId="77777777" w:rsidR="004626EF" w:rsidRDefault="004626EF" w:rsidP="004626EF">
      <w:pPr>
        <w:spacing w:line="240" w:lineRule="auto"/>
        <w:ind w:firstLine="0"/>
        <w:rPr>
          <w:bCs/>
        </w:rPr>
      </w:pPr>
    </w:p>
    <w:p w14:paraId="3CCC8A0D" w14:textId="77777777" w:rsidR="004626EF" w:rsidRDefault="004626EF" w:rsidP="004626EF">
      <w:pPr>
        <w:spacing w:line="240" w:lineRule="auto"/>
        <w:ind w:firstLine="0"/>
      </w:pPr>
      <w:r>
        <w:rPr>
          <w:noProof/>
        </w:rPr>
        <w:drawing>
          <wp:inline distT="0" distB="0" distL="0" distR="0" wp14:anchorId="33B52D87" wp14:editId="48A05E26">
            <wp:extent cx="5770868" cy="32090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240" cy="321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D8F4B6" w14:textId="77777777" w:rsidR="004626EF" w:rsidRDefault="004626EF" w:rsidP="004626EF">
      <w:pPr>
        <w:spacing w:line="240" w:lineRule="auto"/>
        <w:ind w:firstLine="0"/>
      </w:pPr>
    </w:p>
    <w:p w14:paraId="57309161" w14:textId="77777777" w:rsidR="004626EF" w:rsidRDefault="004626EF" w:rsidP="004626EF">
      <w:pPr>
        <w:spacing w:line="240" w:lineRule="auto"/>
        <w:ind w:firstLine="0"/>
      </w:pPr>
    </w:p>
    <w:p w14:paraId="7D4616F8" w14:textId="77777777" w:rsidR="004626EF" w:rsidRDefault="004626EF" w:rsidP="004626EF">
      <w:pPr>
        <w:spacing w:line="240" w:lineRule="auto"/>
        <w:ind w:firstLine="0"/>
      </w:pPr>
    </w:p>
    <w:p w14:paraId="04EC150B" w14:textId="77777777" w:rsidR="004626EF" w:rsidRDefault="004626EF" w:rsidP="004626EF">
      <w:pPr>
        <w:spacing w:line="240" w:lineRule="auto"/>
        <w:ind w:firstLine="0"/>
      </w:pPr>
    </w:p>
    <w:p w14:paraId="6FEFFEAA" w14:textId="77777777" w:rsidR="004626EF" w:rsidRDefault="004626EF" w:rsidP="004626EF">
      <w:pPr>
        <w:spacing w:line="240" w:lineRule="auto"/>
        <w:ind w:firstLine="0"/>
      </w:pPr>
    </w:p>
    <w:p w14:paraId="6509BE62" w14:textId="77777777" w:rsidR="004626EF" w:rsidRDefault="004626EF" w:rsidP="004626EF">
      <w:pPr>
        <w:spacing w:line="240" w:lineRule="auto"/>
        <w:ind w:firstLine="0"/>
      </w:pPr>
    </w:p>
    <w:p w14:paraId="41D9B4E8" w14:textId="77777777" w:rsidR="004626EF" w:rsidRPr="004626EF" w:rsidRDefault="004626EF" w:rsidP="004626EF">
      <w:pPr>
        <w:spacing w:line="240" w:lineRule="auto"/>
        <w:ind w:firstLine="0"/>
      </w:pPr>
    </w:p>
    <w:p w14:paraId="57FDF30F" w14:textId="77777777" w:rsidR="004626EF" w:rsidRPr="00AE455A" w:rsidRDefault="004626EF" w:rsidP="004626EF">
      <w:pPr>
        <w:spacing w:line="240" w:lineRule="auto"/>
        <w:ind w:left="1440" w:firstLine="0"/>
      </w:pPr>
    </w:p>
    <w:p w14:paraId="44626AEE" w14:textId="77777777" w:rsidR="004626EF" w:rsidRDefault="004626EF" w:rsidP="004E4F3D">
      <w:pPr>
        <w:pStyle w:val="AcknowledgmentnoTOC"/>
      </w:pPr>
      <w:r>
        <w:lastRenderedPageBreak/>
        <w:t xml:space="preserve">Opportunities: </w:t>
      </w:r>
    </w:p>
    <w:p w14:paraId="0EACF632" w14:textId="77777777" w:rsidR="00A73E60" w:rsidRPr="004626EF" w:rsidRDefault="00AE455A" w:rsidP="00AE455A">
      <w:pPr>
        <w:numPr>
          <w:ilvl w:val="0"/>
          <w:numId w:val="35"/>
        </w:numPr>
        <w:spacing w:line="240" w:lineRule="auto"/>
      </w:pPr>
      <w:r w:rsidRPr="004626EF">
        <w:rPr>
          <w:bCs/>
        </w:rPr>
        <w:t>Workload analysis—figure out what to offload, what to streamline, what to specialize</w:t>
      </w:r>
    </w:p>
    <w:p w14:paraId="1C6D8574" w14:textId="77777777" w:rsidR="00A73E60" w:rsidRPr="004626EF" w:rsidRDefault="00AE455A" w:rsidP="00AE455A">
      <w:pPr>
        <w:numPr>
          <w:ilvl w:val="0"/>
          <w:numId w:val="35"/>
        </w:numPr>
        <w:spacing w:line="240" w:lineRule="auto"/>
      </w:pPr>
      <w:r w:rsidRPr="004626EF">
        <w:rPr>
          <w:bCs/>
        </w:rPr>
        <w:t>Clarify outcomes, targets, strategies</w:t>
      </w:r>
    </w:p>
    <w:p w14:paraId="30A569D7" w14:textId="77777777" w:rsidR="00A73E60" w:rsidRPr="004626EF" w:rsidRDefault="00AE455A" w:rsidP="00AE455A">
      <w:pPr>
        <w:numPr>
          <w:ilvl w:val="0"/>
          <w:numId w:val="35"/>
        </w:numPr>
        <w:spacing w:line="240" w:lineRule="auto"/>
      </w:pPr>
      <w:r w:rsidRPr="004626EF">
        <w:rPr>
          <w:bCs/>
        </w:rPr>
        <w:t>Service delivery could be more tailored, beyond current segmentation</w:t>
      </w:r>
    </w:p>
    <w:p w14:paraId="54DA2782" w14:textId="77777777" w:rsidR="00A73E60" w:rsidRPr="004626EF" w:rsidRDefault="00AE455A" w:rsidP="00AE455A">
      <w:pPr>
        <w:numPr>
          <w:ilvl w:val="1"/>
          <w:numId w:val="35"/>
        </w:numPr>
        <w:spacing w:line="240" w:lineRule="auto"/>
      </w:pPr>
      <w:r w:rsidRPr="004626EF">
        <w:rPr>
          <w:bCs/>
        </w:rPr>
        <w:t>Define progress benchmarks within caseload segmentation</w:t>
      </w:r>
    </w:p>
    <w:p w14:paraId="502A8E3A" w14:textId="77777777" w:rsidR="00A73E60" w:rsidRPr="004626EF" w:rsidRDefault="00AE455A" w:rsidP="00AE455A">
      <w:pPr>
        <w:numPr>
          <w:ilvl w:val="0"/>
          <w:numId w:val="35"/>
        </w:numPr>
        <w:spacing w:line="240" w:lineRule="auto"/>
      </w:pPr>
      <w:r w:rsidRPr="004626EF">
        <w:rPr>
          <w:bCs/>
        </w:rPr>
        <w:t>Opportunities to bolster the goal-setting</w:t>
      </w:r>
    </w:p>
    <w:p w14:paraId="0B9F2569" w14:textId="77777777" w:rsidR="00A73E60" w:rsidRPr="004626EF" w:rsidRDefault="00AE455A" w:rsidP="00AE455A">
      <w:pPr>
        <w:numPr>
          <w:ilvl w:val="1"/>
          <w:numId w:val="35"/>
        </w:numPr>
        <w:spacing w:line="240" w:lineRule="auto"/>
      </w:pPr>
      <w:r w:rsidRPr="004626EF">
        <w:rPr>
          <w:bCs/>
        </w:rPr>
        <w:t>Gain consistency across staff</w:t>
      </w:r>
    </w:p>
    <w:p w14:paraId="736AD48E" w14:textId="77777777" w:rsidR="00A73E60" w:rsidRPr="004626EF" w:rsidRDefault="00AE455A" w:rsidP="00AE455A">
      <w:pPr>
        <w:numPr>
          <w:ilvl w:val="1"/>
          <w:numId w:val="35"/>
        </w:numPr>
        <w:spacing w:line="240" w:lineRule="auto"/>
      </w:pPr>
      <w:r w:rsidRPr="004626EF">
        <w:rPr>
          <w:bCs/>
        </w:rPr>
        <w:t>Expand beyond career-related goals</w:t>
      </w:r>
    </w:p>
    <w:p w14:paraId="64693A41" w14:textId="77777777" w:rsidR="00A73E60" w:rsidRPr="004626EF" w:rsidRDefault="00AE455A" w:rsidP="00AE455A">
      <w:pPr>
        <w:numPr>
          <w:ilvl w:val="0"/>
          <w:numId w:val="35"/>
        </w:numPr>
        <w:spacing w:line="240" w:lineRule="auto"/>
      </w:pPr>
      <w:r w:rsidRPr="004626EF">
        <w:rPr>
          <w:bCs/>
        </w:rPr>
        <w:t>More frequent, shorter touches with clients</w:t>
      </w:r>
    </w:p>
    <w:p w14:paraId="33ECB465" w14:textId="77777777" w:rsidR="00A73E60" w:rsidRPr="004626EF" w:rsidRDefault="00AE455A" w:rsidP="00AE455A">
      <w:pPr>
        <w:numPr>
          <w:ilvl w:val="0"/>
          <w:numId w:val="35"/>
        </w:numPr>
        <w:spacing w:line="240" w:lineRule="auto"/>
      </w:pPr>
      <w:r w:rsidRPr="004626EF">
        <w:rPr>
          <w:bCs/>
        </w:rPr>
        <w:t>More thoughtful about resource investment</w:t>
      </w:r>
    </w:p>
    <w:p w14:paraId="1AD145EF" w14:textId="77777777" w:rsidR="00A73E60" w:rsidRPr="004626EF" w:rsidRDefault="00AE455A" w:rsidP="00AE455A">
      <w:pPr>
        <w:numPr>
          <w:ilvl w:val="1"/>
          <w:numId w:val="35"/>
        </w:numPr>
        <w:spacing w:line="240" w:lineRule="auto"/>
      </w:pPr>
      <w:r w:rsidRPr="004626EF">
        <w:rPr>
          <w:bCs/>
        </w:rPr>
        <w:t>Examine county contracts and associated benchmarks for performance</w:t>
      </w:r>
    </w:p>
    <w:p w14:paraId="6974A0FD" w14:textId="77777777" w:rsidR="00A73E60" w:rsidRPr="004626EF" w:rsidRDefault="00AE455A" w:rsidP="00AE455A">
      <w:pPr>
        <w:numPr>
          <w:ilvl w:val="0"/>
          <w:numId w:val="35"/>
        </w:numPr>
        <w:spacing w:line="240" w:lineRule="auto"/>
      </w:pPr>
      <w:r w:rsidRPr="004626EF">
        <w:rPr>
          <w:bCs/>
        </w:rPr>
        <w:t>Job search for JTO clients</w:t>
      </w:r>
    </w:p>
    <w:p w14:paraId="3A50E878" w14:textId="77777777" w:rsidR="00A73E60" w:rsidRPr="004626EF" w:rsidRDefault="00AE455A" w:rsidP="00AE455A">
      <w:pPr>
        <w:numPr>
          <w:ilvl w:val="0"/>
          <w:numId w:val="35"/>
        </w:numPr>
        <w:spacing w:line="240" w:lineRule="auto"/>
      </w:pPr>
      <w:r w:rsidRPr="004626EF">
        <w:rPr>
          <w:bCs/>
        </w:rPr>
        <w:t>Manage change process throughout</w:t>
      </w:r>
    </w:p>
    <w:p w14:paraId="4CF32646" w14:textId="77777777" w:rsidR="00C01146" w:rsidRDefault="00C01146">
      <w:pPr>
        <w:spacing w:after="240" w:line="240" w:lineRule="auto"/>
        <w:ind w:firstLine="0"/>
      </w:pPr>
    </w:p>
    <w:p w14:paraId="27102DBD" w14:textId="77777777" w:rsidR="00D83F24" w:rsidRPr="00D83F24" w:rsidRDefault="004E4F3D" w:rsidP="004E4F3D">
      <w:pPr>
        <w:pStyle w:val="AcknowledgmentnoTOC"/>
      </w:pPr>
      <w:r>
        <w:t xml:space="preserve">Road Map for Change: Road Test Round 1 </w:t>
      </w:r>
    </w:p>
    <w:p w14:paraId="32B76B20" w14:textId="77777777" w:rsidR="00D83F24" w:rsidRPr="00D83F24" w:rsidRDefault="00D83F24" w:rsidP="00D83F24">
      <w:pPr>
        <w:spacing w:line="240" w:lineRule="auto"/>
        <w:ind w:firstLine="0"/>
        <w:rPr>
          <w:u w:val="single"/>
        </w:rPr>
      </w:pPr>
      <w:r w:rsidRPr="00D83F24">
        <w:rPr>
          <w:u w:val="single"/>
        </w:rPr>
        <w:t xml:space="preserve">Learning objectives: </w:t>
      </w:r>
    </w:p>
    <w:p w14:paraId="41957EB2" w14:textId="77777777" w:rsidR="00D83F24" w:rsidRPr="00D83F24" w:rsidRDefault="00D83F24" w:rsidP="00D83F24">
      <w:pPr>
        <w:spacing w:line="240" w:lineRule="auto"/>
        <w:ind w:firstLine="0"/>
      </w:pPr>
      <w:r w:rsidRPr="00D83F24">
        <w:t xml:space="preserve">(1) How can workers/clients effectively and efficiently use the tools? </w:t>
      </w:r>
    </w:p>
    <w:p w14:paraId="1F2A44DD" w14:textId="77777777" w:rsidR="00D83F24" w:rsidRPr="00D83F24" w:rsidRDefault="00D83F24" w:rsidP="00D83F24">
      <w:pPr>
        <w:spacing w:line="240" w:lineRule="auto"/>
        <w:ind w:firstLine="0"/>
      </w:pPr>
      <w:r w:rsidRPr="00D83F24">
        <w:t xml:space="preserve">(2) How does worker experience influence the integration of the tool? </w:t>
      </w:r>
    </w:p>
    <w:p w14:paraId="33A08FBA" w14:textId="77777777" w:rsidR="00D83F24" w:rsidRPr="00D83F24" w:rsidRDefault="00D83F24" w:rsidP="00D83F24">
      <w:pPr>
        <w:spacing w:line="240" w:lineRule="auto"/>
        <w:ind w:firstLine="0"/>
      </w:pPr>
      <w:r w:rsidRPr="00D83F24">
        <w:t xml:space="preserve">(3) Does a goal-achievement framework influence the quality of the engagement? </w:t>
      </w:r>
    </w:p>
    <w:p w14:paraId="31B6AA50" w14:textId="77777777" w:rsidR="00D83F24" w:rsidRPr="00D83F24" w:rsidRDefault="00D83F24" w:rsidP="00D83F24">
      <w:pPr>
        <w:spacing w:line="240" w:lineRule="auto"/>
        <w:ind w:firstLine="0"/>
      </w:pPr>
      <w:r w:rsidRPr="00D83F24">
        <w:t xml:space="preserve">(4) Does a goal-achievement framework affect the worker’s investment in clients and improve </w:t>
      </w:r>
    </w:p>
    <w:p w14:paraId="47B08D70" w14:textId="77777777" w:rsidR="00D83F24" w:rsidRDefault="00D83F24" w:rsidP="00D83F24">
      <w:pPr>
        <w:spacing w:line="240" w:lineRule="auto"/>
        <w:ind w:firstLine="0"/>
      </w:pPr>
      <w:r w:rsidRPr="00D83F24">
        <w:t xml:space="preserve">      buy-in?</w:t>
      </w:r>
    </w:p>
    <w:p w14:paraId="5B2EDB60" w14:textId="77777777" w:rsidR="00D83F24" w:rsidRDefault="00D83F24" w:rsidP="00D83F24">
      <w:pPr>
        <w:spacing w:line="240" w:lineRule="auto"/>
        <w:ind w:firstLine="0"/>
      </w:pPr>
    </w:p>
    <w:tbl>
      <w:tblPr>
        <w:tblStyle w:val="GridTable4-Accent1"/>
        <w:tblW w:w="10480" w:type="dxa"/>
        <w:tblInd w:w="-495" w:type="dxa"/>
        <w:tblLook w:val="04A0" w:firstRow="1" w:lastRow="0" w:firstColumn="1" w:lastColumn="0" w:noHBand="0" w:noVBand="1"/>
      </w:tblPr>
      <w:tblGrid>
        <w:gridCol w:w="3730"/>
        <w:gridCol w:w="4230"/>
        <w:gridCol w:w="2520"/>
      </w:tblGrid>
      <w:tr w:rsidR="008769CB" w14:paraId="1CE9CF40" w14:textId="77777777" w:rsidTr="009101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</w:tcPr>
          <w:p w14:paraId="2FA2DBFA" w14:textId="77777777" w:rsidR="008769CB" w:rsidRDefault="008769CB" w:rsidP="008769CB">
            <w:pPr>
              <w:spacing w:line="240" w:lineRule="auto"/>
              <w:ind w:firstLine="0"/>
            </w:pPr>
            <w:r>
              <w:t>Strategies: What we will do</w:t>
            </w:r>
          </w:p>
        </w:tc>
        <w:tc>
          <w:tcPr>
            <w:tcW w:w="4230" w:type="dxa"/>
          </w:tcPr>
          <w:p w14:paraId="15DDC117" w14:textId="77777777" w:rsidR="008769CB" w:rsidRDefault="008769CB" w:rsidP="008769CB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Targets: What we will change</w:t>
            </w:r>
          </w:p>
          <w:p w14:paraId="77455CD4" w14:textId="77777777" w:rsidR="008769CB" w:rsidRDefault="008769CB" w:rsidP="008769CB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(attitudes, behaviors, skills) </w:t>
            </w:r>
          </w:p>
        </w:tc>
        <w:tc>
          <w:tcPr>
            <w:tcW w:w="2520" w:type="dxa"/>
          </w:tcPr>
          <w:p w14:paraId="3B072A2D" w14:textId="77777777" w:rsidR="008769CB" w:rsidRDefault="008769CB" w:rsidP="008769CB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success will look like </w:t>
            </w:r>
          </w:p>
        </w:tc>
      </w:tr>
      <w:tr w:rsidR="00C01146" w14:paraId="684DEC03" w14:textId="77777777" w:rsidTr="00910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</w:tcPr>
          <w:p w14:paraId="50C087FD" w14:textId="77777777" w:rsidR="00BF55F6" w:rsidRDefault="008070CD" w:rsidP="00C01146">
            <w:pPr>
              <w:spacing w:line="240" w:lineRule="auto"/>
              <w:ind w:firstLine="0"/>
            </w:pPr>
            <w:r>
              <w:t xml:space="preserve">Training staff to ask for feedback and shift the process of orientation and other interactions to end activities with an open conversation with customers or </w:t>
            </w:r>
            <w:r w:rsidR="00660765">
              <w:t xml:space="preserve">a </w:t>
            </w:r>
            <w:r>
              <w:t xml:space="preserve">feedback mechanism. </w:t>
            </w:r>
          </w:p>
        </w:tc>
        <w:tc>
          <w:tcPr>
            <w:tcW w:w="4230" w:type="dxa"/>
          </w:tcPr>
          <w:p w14:paraId="052DE887" w14:textId="77777777" w:rsidR="00C01146" w:rsidRDefault="008070CD" w:rsidP="00F30964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Have staff more involved in providing meaningful feedback and getting ideas from both </w:t>
            </w:r>
            <w:r w:rsidR="00F30964">
              <w:t>peers</w:t>
            </w:r>
            <w:r>
              <w:t xml:space="preserve"> and from the customers. Shift in communication to increase openness to customer feedback. Attitude change in the dynamic with the customer to be less imbalanced.</w:t>
            </w:r>
          </w:p>
        </w:tc>
        <w:tc>
          <w:tcPr>
            <w:tcW w:w="2520" w:type="dxa"/>
          </w:tcPr>
          <w:p w14:paraId="4D3E40EF" w14:textId="77777777" w:rsidR="00C01146" w:rsidRDefault="003364E1" w:rsidP="00C01146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Connection to the program </w:t>
            </w:r>
            <w:r w:rsidR="007A7C37">
              <w:t xml:space="preserve">– client feels genuine aid from the county </w:t>
            </w:r>
          </w:p>
        </w:tc>
      </w:tr>
      <w:tr w:rsidR="00C01146" w14:paraId="668FC0B4" w14:textId="77777777" w:rsidTr="00910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</w:tcPr>
          <w:p w14:paraId="10640B1B" w14:textId="77777777" w:rsidR="00BF55F6" w:rsidRDefault="0065069E" w:rsidP="00660765">
            <w:pPr>
              <w:spacing w:line="240" w:lineRule="auto"/>
              <w:ind w:firstLine="0"/>
            </w:pPr>
            <w:r w:rsidRPr="0065069E">
              <w:t>Asking or explaining the “why” questions more often and</w:t>
            </w:r>
            <w:r w:rsidR="00660765">
              <w:t xml:space="preserve"> communicating</w:t>
            </w:r>
            <w:r>
              <w:t xml:space="preserve"> with customers in a way that they feel that they are involved in </w:t>
            </w:r>
            <w:r w:rsidR="00660765">
              <w:t xml:space="preserve">program </w:t>
            </w:r>
            <w:r>
              <w:t>choice</w:t>
            </w:r>
            <w:r w:rsidR="00660765">
              <w:t>s and activity participation</w:t>
            </w:r>
            <w:r>
              <w:t>.</w:t>
            </w:r>
          </w:p>
        </w:tc>
        <w:tc>
          <w:tcPr>
            <w:tcW w:w="4230" w:type="dxa"/>
          </w:tcPr>
          <w:p w14:paraId="690AC061" w14:textId="77777777" w:rsidR="00C01146" w:rsidRDefault="0065069E" w:rsidP="00C01146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Communication – ask customers what they want and</w:t>
            </w:r>
            <w:r w:rsidR="00F30964">
              <w:t xml:space="preserve"> do not project staff goals/impression on customers.</w:t>
            </w:r>
            <w:r>
              <w:t xml:space="preserve"> Change the dynamic/attitude to give clients ownership of their pathway and involvement. </w:t>
            </w:r>
          </w:p>
          <w:p w14:paraId="5C834492" w14:textId="77777777" w:rsidR="0065069E" w:rsidRDefault="0065069E" w:rsidP="00C01146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32EA6E21" w14:textId="77777777" w:rsidR="003364E1" w:rsidRDefault="003364E1" w:rsidP="00C01146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Customer cares about the activities they engage in – incentive to keep making progress</w:t>
            </w:r>
          </w:p>
        </w:tc>
      </w:tr>
      <w:tr w:rsidR="00C01146" w14:paraId="36E42AAD" w14:textId="77777777" w:rsidTr="00910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</w:tcPr>
          <w:p w14:paraId="33E095A1" w14:textId="77777777" w:rsidR="00BF55F6" w:rsidRDefault="002C11FE" w:rsidP="00C01146">
            <w:pPr>
              <w:spacing w:line="240" w:lineRule="auto"/>
              <w:ind w:firstLine="0"/>
            </w:pPr>
            <w:r>
              <w:t xml:space="preserve">Provide some guidelines and resources (such as a script) for staff to make </w:t>
            </w:r>
            <w:r w:rsidR="00660765">
              <w:t>a</w:t>
            </w:r>
            <w:r>
              <w:t xml:space="preserve"> </w:t>
            </w:r>
            <w:r w:rsidR="005C7208">
              <w:t xml:space="preserve">shift </w:t>
            </w:r>
            <w:r>
              <w:t>in the conversational structure</w:t>
            </w:r>
            <w:r w:rsidR="00660765">
              <w:t xml:space="preserve"> to enter more meaningful dialogue with </w:t>
            </w:r>
            <w:r w:rsidR="00660765">
              <w:lastRenderedPageBreak/>
              <w:t>customers</w:t>
            </w:r>
            <w:r>
              <w:t xml:space="preserve">. Daily reminders or tips to help staff to make this </w:t>
            </w:r>
            <w:r w:rsidR="000512A5">
              <w:t>the culture shift through supervisor assist</w:t>
            </w:r>
            <w:r w:rsidR="00660765">
              <w:t xml:space="preserve">ance and </w:t>
            </w:r>
            <w:r w:rsidR="000512A5">
              <w:t xml:space="preserve">habit formation. </w:t>
            </w:r>
          </w:p>
          <w:p w14:paraId="49D90BF7" w14:textId="77777777" w:rsidR="002C11FE" w:rsidRDefault="002C11FE" w:rsidP="00C01146">
            <w:pPr>
              <w:spacing w:line="240" w:lineRule="auto"/>
              <w:ind w:firstLine="0"/>
            </w:pPr>
          </w:p>
        </w:tc>
        <w:tc>
          <w:tcPr>
            <w:tcW w:w="4230" w:type="dxa"/>
          </w:tcPr>
          <w:p w14:paraId="26ACF1B3" w14:textId="77777777" w:rsidR="00C01146" w:rsidRDefault="00F30964" w:rsidP="00C64D13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S</w:t>
            </w:r>
            <w:r w:rsidR="002C11FE">
              <w:t xml:space="preserve">taff </w:t>
            </w:r>
            <w:r>
              <w:t xml:space="preserve">need </w:t>
            </w:r>
            <w:r w:rsidR="002C11FE">
              <w:t>to think differently about how they lay out contracts with the customers –</w:t>
            </w:r>
            <w:r>
              <w:t xml:space="preserve"> this is time co</w:t>
            </w:r>
            <w:r w:rsidR="00226DBF">
              <w:t>nsuming. Commit to a cu</w:t>
            </w:r>
            <w:r w:rsidR="002C11FE">
              <w:t xml:space="preserve">lture shift that comes from the </w:t>
            </w:r>
            <w:r w:rsidR="00C64D13">
              <w:t>top down. Ask</w:t>
            </w:r>
            <w:r w:rsidR="002C11FE">
              <w:t xml:space="preserve"> different types of questio</w:t>
            </w:r>
            <w:r w:rsidR="00C64D13">
              <w:t xml:space="preserve">ns </w:t>
            </w:r>
            <w:r w:rsidR="00C64D13">
              <w:lastRenderedPageBreak/>
              <w:t>during engagements and</w:t>
            </w:r>
            <w:r w:rsidR="002C11FE">
              <w:t xml:space="preserve"> be more “genuinely interested” in clien</w:t>
            </w:r>
            <w:r w:rsidR="00C64D13">
              <w:t>ts to build rapport outside of rules and regulations</w:t>
            </w:r>
            <w:r w:rsidR="002C11FE">
              <w:t xml:space="preserve">. </w:t>
            </w:r>
            <w:r w:rsidR="00C64D13">
              <w:t>Build</w:t>
            </w:r>
            <w:r w:rsidR="002C11FE">
              <w:t xml:space="preserve"> up the client</w:t>
            </w:r>
            <w:r w:rsidR="00C64D13">
              <w:t>s</w:t>
            </w:r>
            <w:r w:rsidR="002C11FE">
              <w:t xml:space="preserve">.  </w:t>
            </w:r>
          </w:p>
        </w:tc>
        <w:tc>
          <w:tcPr>
            <w:tcW w:w="2520" w:type="dxa"/>
          </w:tcPr>
          <w:p w14:paraId="53C13A3D" w14:textId="77777777" w:rsidR="00C01146" w:rsidRDefault="003364E1" w:rsidP="00C01146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Meaningful engagement </w:t>
            </w:r>
            <w:r w:rsidR="007A7C37">
              <w:t>– quality not quantity</w:t>
            </w:r>
          </w:p>
        </w:tc>
      </w:tr>
      <w:tr w:rsidR="00C01146" w14:paraId="4DF3CF3B" w14:textId="77777777" w:rsidTr="00910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</w:tcPr>
          <w:p w14:paraId="6A45F3A1" w14:textId="77777777" w:rsidR="00BF55F6" w:rsidRDefault="000512A5" w:rsidP="00C01146">
            <w:pPr>
              <w:spacing w:line="240" w:lineRule="auto"/>
              <w:ind w:firstLine="0"/>
            </w:pPr>
            <w:r>
              <w:t xml:space="preserve">Establishing benchmarks for each segment. Consider how progress or success will look different based on where customers are starting from. </w:t>
            </w:r>
          </w:p>
          <w:p w14:paraId="18A05DF4" w14:textId="77777777" w:rsidR="000512A5" w:rsidRDefault="00D17FE5" w:rsidP="00C01146">
            <w:pPr>
              <w:spacing w:line="240" w:lineRule="auto"/>
              <w:ind w:firstLine="0"/>
            </w:pPr>
            <w:r>
              <w:t>Develop meaningful measures for these different client “</w:t>
            </w:r>
            <w:r w:rsidR="00044638">
              <w:t>segments</w:t>
            </w:r>
            <w:r>
              <w:t xml:space="preserve">” </w:t>
            </w:r>
          </w:p>
          <w:p w14:paraId="5B4113C9" w14:textId="77777777" w:rsidR="00D17FE5" w:rsidRDefault="00D17FE5" w:rsidP="00C01146">
            <w:pPr>
              <w:spacing w:line="240" w:lineRule="auto"/>
              <w:ind w:firstLine="0"/>
            </w:pPr>
            <w:r>
              <w:t xml:space="preserve">Takes the broad goal of self-sufficiency and makes it more meaningful for each caseload segment. </w:t>
            </w:r>
          </w:p>
        </w:tc>
        <w:tc>
          <w:tcPr>
            <w:tcW w:w="4230" w:type="dxa"/>
          </w:tcPr>
          <w:p w14:paraId="6AA0DE0F" w14:textId="77777777" w:rsidR="00C01146" w:rsidRDefault="000512A5" w:rsidP="00C01146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success in each category/service pathway (just a guide – success can look different in each segment). Pinpoint the range of possible successes – have staff see this range and have more flexibility/ideas about where they should direct clients. Culture shift around possible outcomes – but also adding a structure for tracking and measuring</w:t>
            </w:r>
          </w:p>
        </w:tc>
        <w:tc>
          <w:tcPr>
            <w:tcW w:w="2520" w:type="dxa"/>
          </w:tcPr>
          <w:p w14:paraId="3873CFB3" w14:textId="77777777" w:rsidR="00C01146" w:rsidRDefault="00B63460" w:rsidP="00C01146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Progress within segmented caseload </w:t>
            </w:r>
            <w:r w:rsidR="007A7C37">
              <w:t xml:space="preserve">– guidelines for activities and </w:t>
            </w:r>
            <w:r w:rsidR="00D050EA">
              <w:t xml:space="preserve">benchmarks </w:t>
            </w:r>
          </w:p>
        </w:tc>
      </w:tr>
      <w:tr w:rsidR="00C01146" w14:paraId="5EBF385F" w14:textId="77777777" w:rsidTr="00910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</w:tcPr>
          <w:p w14:paraId="1D61F608" w14:textId="77777777" w:rsidR="00BF55F6" w:rsidRDefault="00660765" w:rsidP="00C01146">
            <w:pPr>
              <w:spacing w:line="240" w:lineRule="auto"/>
              <w:ind w:firstLine="0"/>
            </w:pPr>
            <w:r>
              <w:t>M</w:t>
            </w:r>
            <w:r w:rsidR="003A0342" w:rsidRPr="003A0342">
              <w:t xml:space="preserve">ore integral case management involvement by the WtW staff – not such a </w:t>
            </w:r>
            <w:r w:rsidR="00044638">
              <w:t>cold</w:t>
            </w:r>
            <w:r w:rsidR="003A0342" w:rsidRPr="003A0342">
              <w:t xml:space="preserve"> hand off (washing the hands of a case) to the contractor.</w:t>
            </w:r>
            <w:r w:rsidR="00A80894">
              <w:t xml:space="preserve"> Change the workshops to increase individual preparati</w:t>
            </w:r>
            <w:r w:rsidR="00044638">
              <w:t>on and attention to better guidance for</w:t>
            </w:r>
            <w:r w:rsidR="00A80894">
              <w:t xml:space="preserve"> what clients need to work on </w:t>
            </w:r>
            <w:r w:rsidR="00044638">
              <w:t>as they progress to “T” and SE</w:t>
            </w:r>
            <w:r w:rsidR="00A80894">
              <w:t xml:space="preserve">– increase the ownership of clients in their goals/work skills for ESE placement. </w:t>
            </w:r>
          </w:p>
          <w:p w14:paraId="52286473" w14:textId="77777777" w:rsidR="003A0342" w:rsidRDefault="003A0342" w:rsidP="00C01146">
            <w:pPr>
              <w:spacing w:line="240" w:lineRule="auto"/>
              <w:ind w:firstLine="0"/>
            </w:pPr>
          </w:p>
        </w:tc>
        <w:tc>
          <w:tcPr>
            <w:tcW w:w="4230" w:type="dxa"/>
          </w:tcPr>
          <w:p w14:paraId="72A27DEB" w14:textId="77777777" w:rsidR="00C01146" w:rsidRDefault="003A0342" w:rsidP="00044638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Having staff more motivated to co-case manage with the contractor. Focus on client outcomes and success in the end of ESE</w:t>
            </w:r>
            <w:r w:rsidR="00044638">
              <w:t>.</w:t>
            </w:r>
            <w:r>
              <w:t xml:space="preserve"> </w:t>
            </w:r>
            <w:r w:rsidR="00044638">
              <w:t xml:space="preserve">Focus client efforts more around the transition </w:t>
            </w:r>
            <w:r>
              <w:t>out of ESE and into an independent job. Have staff thinking about engagement during the initial ESE preparation, and th</w:t>
            </w:r>
            <w:r w:rsidR="00044638">
              <w:t>en stay</w:t>
            </w:r>
            <w:r>
              <w:t xml:space="preserve"> in touch/engaging clients after a few month</w:t>
            </w:r>
            <w:r w:rsidR="00A80894">
              <w:t xml:space="preserve">s. </w:t>
            </w:r>
          </w:p>
        </w:tc>
        <w:tc>
          <w:tcPr>
            <w:tcW w:w="2520" w:type="dxa"/>
          </w:tcPr>
          <w:p w14:paraId="5EC5A105" w14:textId="77777777" w:rsidR="00C01146" w:rsidRDefault="00B63460" w:rsidP="00C01146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Move the needle 10% up on successful job placement </w:t>
            </w:r>
            <w:r w:rsidR="00D050EA">
              <w:t xml:space="preserve"> in “T” and ESE </w:t>
            </w:r>
          </w:p>
        </w:tc>
      </w:tr>
      <w:tr w:rsidR="00C01146" w14:paraId="3AD8EA6F" w14:textId="77777777" w:rsidTr="00910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</w:tcPr>
          <w:p w14:paraId="68E28281" w14:textId="77777777" w:rsidR="00C01146" w:rsidRDefault="00D83EE3" w:rsidP="00C01146">
            <w:pPr>
              <w:spacing w:line="240" w:lineRule="auto"/>
              <w:ind w:firstLine="0"/>
            </w:pPr>
            <w:r>
              <w:t xml:space="preserve">Reframing all client interactions around goal-achievement </w:t>
            </w:r>
          </w:p>
          <w:p w14:paraId="54B58194" w14:textId="77777777" w:rsidR="00BF55F6" w:rsidRDefault="00BF55F6" w:rsidP="00C01146">
            <w:pPr>
              <w:spacing w:line="240" w:lineRule="auto"/>
              <w:ind w:firstLine="0"/>
            </w:pPr>
          </w:p>
        </w:tc>
        <w:tc>
          <w:tcPr>
            <w:tcW w:w="4230" w:type="dxa"/>
          </w:tcPr>
          <w:p w14:paraId="5238E820" w14:textId="77777777" w:rsidR="00C01146" w:rsidRDefault="0082010C" w:rsidP="00C01146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Decrease emphasis on requirements/regulation (which does not motivate the customer) and increase client investment </w:t>
            </w:r>
          </w:p>
        </w:tc>
        <w:tc>
          <w:tcPr>
            <w:tcW w:w="2520" w:type="dxa"/>
          </w:tcPr>
          <w:p w14:paraId="6C2DF9E6" w14:textId="77777777" w:rsidR="00C01146" w:rsidRDefault="00D83EE3" w:rsidP="00C01146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Increased staff engagement and motivation to connect with clients </w:t>
            </w:r>
          </w:p>
        </w:tc>
      </w:tr>
    </w:tbl>
    <w:p w14:paraId="2EA68429" w14:textId="77777777" w:rsidR="00DB7BA4" w:rsidRDefault="00DB7BA4" w:rsidP="00C01146">
      <w:pPr>
        <w:spacing w:line="240" w:lineRule="auto"/>
        <w:ind w:firstLine="0"/>
      </w:pPr>
    </w:p>
    <w:p w14:paraId="4528D895" w14:textId="77777777" w:rsidR="00DB7BA4" w:rsidRDefault="00DB7BA4" w:rsidP="00C01146">
      <w:pPr>
        <w:spacing w:line="240" w:lineRule="auto"/>
        <w:ind w:firstLine="0"/>
      </w:pPr>
    </w:p>
    <w:p w14:paraId="4B09B51A" w14:textId="77777777" w:rsidR="00E0797D" w:rsidRDefault="00E0797D" w:rsidP="00C01146">
      <w:pPr>
        <w:spacing w:line="240" w:lineRule="auto"/>
        <w:ind w:firstLine="0"/>
      </w:pPr>
    </w:p>
    <w:p w14:paraId="4E7592A4" w14:textId="77777777" w:rsidR="00E0797D" w:rsidRDefault="00E0797D" w:rsidP="00C01146">
      <w:pPr>
        <w:spacing w:line="240" w:lineRule="auto"/>
        <w:ind w:firstLine="0"/>
      </w:pPr>
    </w:p>
    <w:p w14:paraId="0F878283" w14:textId="77777777" w:rsidR="00E0797D" w:rsidRDefault="00E0797D" w:rsidP="00C01146">
      <w:pPr>
        <w:spacing w:line="240" w:lineRule="auto"/>
        <w:ind w:firstLine="0"/>
      </w:pPr>
    </w:p>
    <w:p w14:paraId="5CA68267" w14:textId="77777777" w:rsidR="00E0797D" w:rsidRDefault="00E0797D" w:rsidP="00C01146">
      <w:pPr>
        <w:spacing w:line="240" w:lineRule="auto"/>
        <w:ind w:firstLine="0"/>
      </w:pPr>
    </w:p>
    <w:p w14:paraId="7AE586B3" w14:textId="77777777" w:rsidR="00E0797D" w:rsidRDefault="00E0797D" w:rsidP="00C01146">
      <w:pPr>
        <w:spacing w:line="240" w:lineRule="auto"/>
        <w:ind w:firstLine="0"/>
      </w:pPr>
    </w:p>
    <w:p w14:paraId="526D86B3" w14:textId="77777777" w:rsidR="00E0797D" w:rsidRDefault="00E0797D" w:rsidP="00C01146">
      <w:pPr>
        <w:spacing w:line="240" w:lineRule="auto"/>
        <w:ind w:firstLine="0"/>
      </w:pPr>
    </w:p>
    <w:p w14:paraId="4ED55CAA" w14:textId="77777777" w:rsidR="00E0797D" w:rsidRDefault="00E0797D" w:rsidP="00C01146">
      <w:pPr>
        <w:spacing w:line="240" w:lineRule="auto"/>
        <w:ind w:firstLine="0"/>
      </w:pPr>
    </w:p>
    <w:p w14:paraId="6A50C537" w14:textId="77777777" w:rsidR="00E0797D" w:rsidRDefault="00E0797D" w:rsidP="00C01146">
      <w:pPr>
        <w:spacing w:line="240" w:lineRule="auto"/>
        <w:ind w:firstLine="0"/>
      </w:pP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2601"/>
        <w:gridCol w:w="2669"/>
        <w:gridCol w:w="2067"/>
        <w:gridCol w:w="2013"/>
      </w:tblGrid>
      <w:tr w:rsidR="00DB7BA4" w14:paraId="5FC54BA1" w14:textId="77777777" w:rsidTr="00922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37AAB88E" w14:textId="77777777" w:rsidR="00DB7BA4" w:rsidRDefault="00DB7BA4" w:rsidP="00C01146">
            <w:pPr>
              <w:spacing w:line="240" w:lineRule="auto"/>
              <w:ind w:firstLine="0"/>
            </w:pPr>
            <w:r>
              <w:t>What</w:t>
            </w:r>
          </w:p>
        </w:tc>
        <w:tc>
          <w:tcPr>
            <w:tcW w:w="2520" w:type="dxa"/>
          </w:tcPr>
          <w:p w14:paraId="2B76F6CE" w14:textId="77777777" w:rsidR="00DB7BA4" w:rsidRDefault="00DB7BA4" w:rsidP="00C01146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070" w:type="dxa"/>
          </w:tcPr>
          <w:p w14:paraId="0DE700CD" w14:textId="77777777" w:rsidR="00DB7BA4" w:rsidRDefault="00DB7BA4" w:rsidP="00C01146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</w:t>
            </w:r>
          </w:p>
        </w:tc>
        <w:tc>
          <w:tcPr>
            <w:tcW w:w="2065" w:type="dxa"/>
          </w:tcPr>
          <w:p w14:paraId="72166248" w14:textId="77777777" w:rsidR="00DB7BA4" w:rsidRDefault="00DB7BA4" w:rsidP="00C01146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When </w:t>
            </w:r>
          </w:p>
        </w:tc>
      </w:tr>
      <w:tr w:rsidR="00DB7BA4" w14:paraId="41F9A47C" w14:textId="77777777" w:rsidTr="00922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2EF359D9" w14:textId="77777777" w:rsidR="00DB7BA4" w:rsidRDefault="00DB7BA4" w:rsidP="00DB7BA4">
            <w:pPr>
              <w:spacing w:line="240" w:lineRule="auto"/>
              <w:ind w:firstLine="0"/>
            </w:pPr>
            <w:r>
              <w:lastRenderedPageBreak/>
              <w:t xml:space="preserve">Goal Setting with Clients </w:t>
            </w:r>
            <w:r w:rsidR="000635FB">
              <w:t>– one on one (GPDR and My Pathway)</w:t>
            </w:r>
          </w:p>
        </w:tc>
        <w:tc>
          <w:tcPr>
            <w:tcW w:w="2520" w:type="dxa"/>
          </w:tcPr>
          <w:p w14:paraId="48CAA50F" w14:textId="77777777" w:rsidR="00DB7BA4" w:rsidRDefault="00DB7BA4" w:rsidP="00C01146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worker from each supervisor group: </w:t>
            </w:r>
          </w:p>
          <w:p w14:paraId="0D52F23F" w14:textId="7927B68E" w:rsidR="00DB7BA4" w:rsidRDefault="00DB7BA4" w:rsidP="00C01146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  <w:r>
              <w:t xml:space="preserve"> </w:t>
            </w:r>
          </w:p>
        </w:tc>
        <w:tc>
          <w:tcPr>
            <w:tcW w:w="2070" w:type="dxa"/>
          </w:tcPr>
          <w:p w14:paraId="4224066C" w14:textId="77777777" w:rsidR="00DB7BA4" w:rsidRDefault="00DB7BA4" w:rsidP="00C01146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10 clients for each worker </w:t>
            </w:r>
          </w:p>
        </w:tc>
        <w:tc>
          <w:tcPr>
            <w:tcW w:w="2065" w:type="dxa"/>
          </w:tcPr>
          <w:p w14:paraId="7B17252A" w14:textId="77777777" w:rsidR="00DB7BA4" w:rsidRDefault="0090601A" w:rsidP="00C01146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Each interaction, 1x/week for each client</w:t>
            </w:r>
          </w:p>
        </w:tc>
      </w:tr>
      <w:tr w:rsidR="00DB7BA4" w14:paraId="6CF74B8D" w14:textId="77777777" w:rsidTr="00922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2127F600" w14:textId="77777777" w:rsidR="00DB7BA4" w:rsidRDefault="00DB7BA4" w:rsidP="00C01146">
            <w:pPr>
              <w:spacing w:line="240" w:lineRule="auto"/>
              <w:ind w:firstLine="0"/>
            </w:pPr>
            <w:r>
              <w:t xml:space="preserve">Goal Setting with Workers </w:t>
            </w:r>
          </w:p>
        </w:tc>
        <w:tc>
          <w:tcPr>
            <w:tcW w:w="2520" w:type="dxa"/>
          </w:tcPr>
          <w:p w14:paraId="15152662" w14:textId="77777777" w:rsidR="00DB7BA4" w:rsidRDefault="00DB7BA4" w:rsidP="00C01146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 supervisors </w:t>
            </w:r>
          </w:p>
        </w:tc>
        <w:tc>
          <w:tcPr>
            <w:tcW w:w="2070" w:type="dxa"/>
          </w:tcPr>
          <w:p w14:paraId="676E42E8" w14:textId="77777777" w:rsidR="00DB7BA4" w:rsidRDefault="0090601A" w:rsidP="00C01146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With all workers </w:t>
            </w:r>
          </w:p>
        </w:tc>
        <w:tc>
          <w:tcPr>
            <w:tcW w:w="2065" w:type="dxa"/>
          </w:tcPr>
          <w:p w14:paraId="0C09BF29" w14:textId="77777777" w:rsidR="00DB7BA4" w:rsidRDefault="0090601A" w:rsidP="00C01146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Bi-weekly individual meetings </w:t>
            </w:r>
          </w:p>
        </w:tc>
      </w:tr>
      <w:tr w:rsidR="000635FB" w14:paraId="644AC426" w14:textId="77777777" w:rsidTr="00922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661A613F" w14:textId="77777777" w:rsidR="000635FB" w:rsidRDefault="000635FB" w:rsidP="00C01146">
            <w:pPr>
              <w:spacing w:line="240" w:lineRule="auto"/>
              <w:ind w:firstLine="0"/>
            </w:pPr>
            <w:r>
              <w:t xml:space="preserve">Group Goal setting </w:t>
            </w:r>
          </w:p>
        </w:tc>
        <w:tc>
          <w:tcPr>
            <w:tcW w:w="2520" w:type="dxa"/>
          </w:tcPr>
          <w:p w14:paraId="1D11A600" w14:textId="77777777" w:rsidR="000635FB" w:rsidRDefault="00BE3800" w:rsidP="00BE3800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worker running</w:t>
            </w:r>
            <w:r w:rsidR="000635FB">
              <w:t xml:space="preserve"> workshop for housing search/support </w:t>
            </w:r>
          </w:p>
        </w:tc>
        <w:tc>
          <w:tcPr>
            <w:tcW w:w="2070" w:type="dxa"/>
          </w:tcPr>
          <w:p w14:paraId="491A07FF" w14:textId="77777777" w:rsidR="000635FB" w:rsidRDefault="009228A9" w:rsidP="009228A9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GPDR each session and </w:t>
            </w:r>
            <w:r w:rsidR="00BE3800">
              <w:t xml:space="preserve">the Roadmap/Potholes and Detours </w:t>
            </w:r>
          </w:p>
        </w:tc>
        <w:tc>
          <w:tcPr>
            <w:tcW w:w="2065" w:type="dxa"/>
          </w:tcPr>
          <w:p w14:paraId="06B18BBF" w14:textId="77777777" w:rsidR="000635FB" w:rsidRDefault="00EA5004" w:rsidP="00C01146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At weekly workshop (Th) </w:t>
            </w:r>
          </w:p>
        </w:tc>
      </w:tr>
      <w:tr w:rsidR="009228A9" w14:paraId="5621FA9B" w14:textId="77777777" w:rsidTr="00922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2353D4A0" w14:textId="77777777" w:rsidR="009228A9" w:rsidRDefault="009228A9" w:rsidP="00C01146">
            <w:pPr>
              <w:spacing w:line="240" w:lineRule="auto"/>
              <w:ind w:firstLine="0"/>
            </w:pPr>
            <w:r>
              <w:t xml:space="preserve">Consider: </w:t>
            </w:r>
          </w:p>
          <w:p w14:paraId="6210CA66" w14:textId="77777777" w:rsidR="009228A9" w:rsidRDefault="009228A9" w:rsidP="009228A9">
            <w:pPr>
              <w:spacing w:line="240" w:lineRule="auto"/>
              <w:ind w:firstLine="0"/>
            </w:pPr>
            <w:r>
              <w:t xml:space="preserve">-County Goal Setting </w:t>
            </w:r>
          </w:p>
          <w:p w14:paraId="3931A7D0" w14:textId="77777777" w:rsidR="009228A9" w:rsidRDefault="009228A9" w:rsidP="009228A9">
            <w:pPr>
              <w:spacing w:line="240" w:lineRule="auto"/>
              <w:ind w:firstLine="0"/>
            </w:pPr>
            <w:r>
              <w:t>-Pathway Guidelines</w:t>
            </w:r>
          </w:p>
        </w:tc>
        <w:tc>
          <w:tcPr>
            <w:tcW w:w="2520" w:type="dxa"/>
          </w:tcPr>
          <w:p w14:paraId="40FF9A99" w14:textId="77777777" w:rsidR="009228A9" w:rsidRDefault="009228A9" w:rsidP="00BE3800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Supervisors/Management</w:t>
            </w:r>
          </w:p>
        </w:tc>
        <w:tc>
          <w:tcPr>
            <w:tcW w:w="2070" w:type="dxa"/>
          </w:tcPr>
          <w:p w14:paraId="28DAB6BA" w14:textId="77777777" w:rsidR="009228A9" w:rsidRDefault="009228A9" w:rsidP="00C01146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5" w:type="dxa"/>
          </w:tcPr>
          <w:p w14:paraId="69A0BA8F" w14:textId="77777777" w:rsidR="009228A9" w:rsidRDefault="009228A9" w:rsidP="00C01146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97F368" w14:textId="77777777" w:rsidR="009101DB" w:rsidRDefault="009101DB" w:rsidP="00C01146">
      <w:pPr>
        <w:spacing w:line="240" w:lineRule="auto"/>
        <w:ind w:firstLine="0"/>
      </w:pPr>
    </w:p>
    <w:p w14:paraId="1061DA97" w14:textId="77777777" w:rsidR="009101DB" w:rsidRDefault="009101DB" w:rsidP="00C01146">
      <w:pPr>
        <w:spacing w:line="240" w:lineRule="auto"/>
        <w:ind w:firstLine="0"/>
      </w:pPr>
    </w:p>
    <w:p w14:paraId="150B856F" w14:textId="77777777" w:rsidR="0094508C" w:rsidRDefault="008769CB" w:rsidP="00C01146">
      <w:pPr>
        <w:spacing w:line="240" w:lineRule="auto"/>
        <w:ind w:firstLine="0"/>
      </w:pPr>
      <w:r>
        <w:t xml:space="preserve">Week 1; April 3 – Implementation site visit and Strategic Planning; Send Materials </w:t>
      </w:r>
    </w:p>
    <w:p w14:paraId="760ABE1A" w14:textId="77777777" w:rsidR="008769CB" w:rsidRDefault="008769CB" w:rsidP="00C01146">
      <w:pPr>
        <w:spacing w:line="240" w:lineRule="auto"/>
        <w:ind w:firstLine="0"/>
      </w:pPr>
      <w:r>
        <w:t>Week 2; April 10 – Phone call check in about materials and roadmap to change</w:t>
      </w:r>
    </w:p>
    <w:p w14:paraId="152BCFED" w14:textId="77777777" w:rsidR="008769CB" w:rsidRDefault="008769CB" w:rsidP="00C01146">
      <w:pPr>
        <w:spacing w:line="240" w:lineRule="auto"/>
        <w:ind w:firstLine="0"/>
      </w:pPr>
      <w:r>
        <w:t xml:space="preserve">Week 3; April 17 – Finalize tools/ determine final learning objectives </w:t>
      </w:r>
    </w:p>
    <w:p w14:paraId="4CD480E7" w14:textId="77777777" w:rsidR="006B01EF" w:rsidRDefault="006B01EF" w:rsidP="00C01146">
      <w:pPr>
        <w:spacing w:line="240" w:lineRule="auto"/>
        <w:ind w:firstLine="0"/>
      </w:pPr>
      <w:r>
        <w:t xml:space="preserve">Week 4; April 24 – Conduct training in-person for tools and road test data collection </w:t>
      </w:r>
    </w:p>
    <w:p w14:paraId="0F61F48A" w14:textId="77777777" w:rsidR="006B01EF" w:rsidRDefault="006B01EF" w:rsidP="00C01146">
      <w:pPr>
        <w:spacing w:line="240" w:lineRule="auto"/>
        <w:ind w:firstLine="0"/>
      </w:pPr>
      <w:r>
        <w:t xml:space="preserve">Week 5; May 1 – Launch road test </w:t>
      </w:r>
      <w:r w:rsidR="00CB7B56">
        <w:t>Round 1</w:t>
      </w:r>
    </w:p>
    <w:p w14:paraId="3BEF04B6" w14:textId="77777777" w:rsidR="006B01EF" w:rsidRDefault="006B01EF" w:rsidP="00C01146">
      <w:pPr>
        <w:spacing w:line="240" w:lineRule="auto"/>
        <w:ind w:firstLine="0"/>
      </w:pPr>
    </w:p>
    <w:p w14:paraId="5B9484E5" w14:textId="77777777" w:rsidR="006B01EF" w:rsidRDefault="006B01EF" w:rsidP="00C01146">
      <w:pPr>
        <w:spacing w:line="240" w:lineRule="auto"/>
        <w:ind w:firstLine="0"/>
      </w:pPr>
      <w:r>
        <w:t xml:space="preserve">Week 5-8; Road Test </w:t>
      </w:r>
      <w:r w:rsidR="00CB7B56">
        <w:t>1</w:t>
      </w:r>
    </w:p>
    <w:p w14:paraId="6BBB29AB" w14:textId="77777777" w:rsidR="006B01EF" w:rsidRDefault="006B01EF" w:rsidP="00C01146">
      <w:pPr>
        <w:spacing w:line="240" w:lineRule="auto"/>
        <w:ind w:firstLine="0"/>
      </w:pPr>
    </w:p>
    <w:p w14:paraId="063A7538" w14:textId="2DADF5E8" w:rsidR="006B01EF" w:rsidRDefault="006B01EF" w:rsidP="00C01146">
      <w:pPr>
        <w:spacing w:line="240" w:lineRule="auto"/>
        <w:ind w:firstLine="0"/>
      </w:pPr>
      <w:r>
        <w:t xml:space="preserve">Week 9-10; Analyze data, feedback to </w:t>
      </w:r>
      <w:r w:rsidR="00927D14">
        <w:t xml:space="preserve"> </w:t>
      </w:r>
      <w:r>
        <w:t xml:space="preserve"> County, plan for Round 2 Test </w:t>
      </w:r>
    </w:p>
    <w:p w14:paraId="0BAF8EA2" w14:textId="77777777" w:rsidR="006B01EF" w:rsidRDefault="006B01EF" w:rsidP="00C01146">
      <w:pPr>
        <w:spacing w:line="240" w:lineRule="auto"/>
        <w:ind w:firstLine="0"/>
      </w:pPr>
    </w:p>
    <w:p w14:paraId="68FF938C" w14:textId="77777777" w:rsidR="00CB7B56" w:rsidRDefault="006B01EF" w:rsidP="00C01146">
      <w:pPr>
        <w:spacing w:line="240" w:lineRule="auto"/>
        <w:ind w:firstLine="0"/>
      </w:pPr>
      <w:r>
        <w:t xml:space="preserve">Week 11; June 12 </w:t>
      </w:r>
      <w:r w:rsidR="00CB7B56">
        <w:t>–</w:t>
      </w:r>
      <w:r>
        <w:t xml:space="preserve"> </w:t>
      </w:r>
      <w:r w:rsidR="00CB7B56">
        <w:t xml:space="preserve">Webinar training for Round 2 </w:t>
      </w:r>
    </w:p>
    <w:p w14:paraId="2FCC52A1" w14:textId="77777777" w:rsidR="00CB7B56" w:rsidRDefault="00CB7B56" w:rsidP="00C01146">
      <w:pPr>
        <w:spacing w:line="240" w:lineRule="auto"/>
        <w:ind w:firstLine="0"/>
      </w:pPr>
    </w:p>
    <w:p w14:paraId="4C8AAC20" w14:textId="77777777" w:rsidR="00CB7B56" w:rsidRDefault="00CB7B56" w:rsidP="00C01146">
      <w:pPr>
        <w:spacing w:line="240" w:lineRule="auto"/>
        <w:ind w:firstLine="0"/>
      </w:pPr>
      <w:r>
        <w:t>Week 12; June 19 - Launch Road test Round 2</w:t>
      </w:r>
    </w:p>
    <w:p w14:paraId="7EFA25F5" w14:textId="77777777" w:rsidR="00CB7B56" w:rsidRDefault="00CB7B56" w:rsidP="00C01146">
      <w:pPr>
        <w:spacing w:line="240" w:lineRule="auto"/>
        <w:ind w:firstLine="0"/>
      </w:pPr>
    </w:p>
    <w:p w14:paraId="5D8F1C24" w14:textId="77777777" w:rsidR="001738A3" w:rsidRDefault="00CB7B56" w:rsidP="00C01146">
      <w:pPr>
        <w:spacing w:line="240" w:lineRule="auto"/>
        <w:ind w:firstLine="0"/>
      </w:pPr>
      <w:r>
        <w:t>Week 12-15; Road Test 2</w:t>
      </w:r>
    </w:p>
    <w:p w14:paraId="56377FE5" w14:textId="77777777" w:rsidR="001738A3" w:rsidRDefault="001738A3" w:rsidP="00C01146">
      <w:pPr>
        <w:spacing w:line="240" w:lineRule="auto"/>
        <w:ind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48A3EE" wp14:editId="3CC5D048">
            <wp:simplePos x="0" y="0"/>
            <wp:positionH relativeFrom="column">
              <wp:posOffset>-413637</wp:posOffset>
            </wp:positionH>
            <wp:positionV relativeFrom="paragraph">
              <wp:posOffset>168335</wp:posOffset>
            </wp:positionV>
            <wp:extent cx="6639002" cy="150962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002" cy="1509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3266D5" w14:textId="77777777" w:rsidR="008769CB" w:rsidRDefault="008769CB" w:rsidP="00C01146">
      <w:pPr>
        <w:spacing w:line="240" w:lineRule="auto"/>
        <w:ind w:firstLine="0"/>
      </w:pPr>
    </w:p>
    <w:p w14:paraId="6A9FCFC5" w14:textId="77777777" w:rsidR="001738A3" w:rsidRDefault="001738A3" w:rsidP="00C01146">
      <w:pPr>
        <w:spacing w:line="240" w:lineRule="auto"/>
        <w:ind w:firstLine="0"/>
      </w:pPr>
    </w:p>
    <w:p w14:paraId="0FF2A2F8" w14:textId="77777777" w:rsidR="001738A3" w:rsidRDefault="001738A3" w:rsidP="00C01146">
      <w:pPr>
        <w:spacing w:line="240" w:lineRule="auto"/>
        <w:ind w:firstLine="0"/>
      </w:pPr>
    </w:p>
    <w:p w14:paraId="6A62B4DF" w14:textId="77777777" w:rsidR="001738A3" w:rsidRDefault="001738A3" w:rsidP="00C01146">
      <w:pPr>
        <w:spacing w:line="240" w:lineRule="auto"/>
        <w:ind w:firstLine="0"/>
      </w:pPr>
    </w:p>
    <w:p w14:paraId="67C1B25D" w14:textId="77777777" w:rsidR="001738A3" w:rsidRDefault="001738A3" w:rsidP="00C01146">
      <w:pPr>
        <w:spacing w:line="240" w:lineRule="auto"/>
        <w:ind w:firstLine="0"/>
      </w:pPr>
    </w:p>
    <w:p w14:paraId="0CE49472" w14:textId="77777777" w:rsidR="001738A3" w:rsidRDefault="001738A3" w:rsidP="00C01146">
      <w:pPr>
        <w:spacing w:line="240" w:lineRule="auto"/>
        <w:ind w:firstLine="0"/>
      </w:pPr>
    </w:p>
    <w:p w14:paraId="381F9A27" w14:textId="77777777" w:rsidR="001738A3" w:rsidRDefault="001738A3" w:rsidP="00C01146">
      <w:pPr>
        <w:spacing w:line="240" w:lineRule="auto"/>
        <w:ind w:firstLine="0"/>
      </w:pPr>
    </w:p>
    <w:p w14:paraId="2F69A19C" w14:textId="77777777" w:rsidR="001738A3" w:rsidRDefault="001738A3" w:rsidP="00C01146">
      <w:pPr>
        <w:spacing w:line="240" w:lineRule="auto"/>
        <w:ind w:firstLine="0"/>
      </w:pPr>
    </w:p>
    <w:p w14:paraId="0269B68A" w14:textId="77777777" w:rsidR="001738A3" w:rsidRDefault="001738A3" w:rsidP="00C01146">
      <w:pPr>
        <w:spacing w:line="240" w:lineRule="auto"/>
        <w:ind w:firstLine="0"/>
      </w:pPr>
    </w:p>
    <w:p w14:paraId="2C8C8FF2" w14:textId="77777777" w:rsidR="001738A3" w:rsidRDefault="001738A3" w:rsidP="00C01146">
      <w:pPr>
        <w:spacing w:line="240" w:lineRule="auto"/>
        <w:ind w:firstLine="0"/>
      </w:pPr>
    </w:p>
    <w:p w14:paraId="277AF928" w14:textId="77777777" w:rsidR="001738A3" w:rsidRPr="00AE455A" w:rsidRDefault="001738A3" w:rsidP="00C01146">
      <w:pPr>
        <w:spacing w:line="240" w:lineRule="auto"/>
        <w:ind w:firstLine="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BD42670" wp14:editId="64D346B7">
            <wp:simplePos x="0" y="0"/>
            <wp:positionH relativeFrom="column">
              <wp:posOffset>-396815</wp:posOffset>
            </wp:positionH>
            <wp:positionV relativeFrom="paragraph">
              <wp:posOffset>345057</wp:posOffset>
            </wp:positionV>
            <wp:extent cx="6700042" cy="4011283"/>
            <wp:effectExtent l="0" t="0" r="5715" b="8890"/>
            <wp:wrapThrough wrapText="bothSides">
              <wp:wrapPolygon edited="0">
                <wp:start x="0" y="0"/>
                <wp:lineTo x="0" y="21545"/>
                <wp:lineTo x="21557" y="21545"/>
                <wp:lineTo x="2155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042" cy="4011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38A3" w:rsidRPr="00AE455A" w:rsidSect="00C0114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B1385" w14:textId="77777777" w:rsidR="00896AB4" w:rsidRDefault="00896AB4" w:rsidP="002E3E35">
      <w:pPr>
        <w:spacing w:line="240" w:lineRule="auto"/>
      </w:pPr>
      <w:r>
        <w:separator/>
      </w:r>
    </w:p>
  </w:endnote>
  <w:endnote w:type="continuationSeparator" w:id="0">
    <w:p w14:paraId="435D02D1" w14:textId="77777777" w:rsidR="00896AB4" w:rsidRDefault="00896AB4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96E79" w14:textId="77777777" w:rsidR="00294B21" w:rsidRPr="00A12B64" w:rsidRDefault="00294B21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5DFFFFF5" w14:textId="77777777" w:rsidR="00294B21" w:rsidRDefault="00294B21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410B3857" w14:textId="660223D2" w:rsidR="00294B21" w:rsidRPr="00964AB7" w:rsidRDefault="00294B21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1" w:name="Draft"/>
    <w:bookmarkEnd w:id="1"/>
    <w:r w:rsidRPr="002A4F27">
      <w:rPr>
        <w:b/>
      </w:rPr>
      <w:t xml:space="preserve">DRAFT </w:t>
    </w:r>
    <w:r w:rsidR="00896AB4">
      <w:fldChar w:fldCharType="begin"/>
    </w:r>
    <w:r w:rsidR="00896AB4">
      <w:instrText xml:space="preserve"> FILENAME  \p  \* MERGEFORMAT </w:instrText>
    </w:r>
    <w:r w:rsidR="00896AB4">
      <w:fldChar w:fldCharType="separate"/>
    </w:r>
    <w:r w:rsidR="00AE455A" w:rsidRPr="00AE455A">
      <w:rPr>
        <w:noProof/>
        <w:sz w:val="14"/>
        <w:szCs w:val="14"/>
      </w:rPr>
      <w:t>Document1</w:t>
    </w:r>
    <w:r w:rsidR="00896AB4">
      <w:rPr>
        <w:noProof/>
        <w:sz w:val="14"/>
        <w:szCs w:val="14"/>
      </w:rPr>
      <w:fldChar w:fldCharType="end"/>
    </w:r>
    <w:r w:rsidRPr="00964AB7">
      <w:rPr>
        <w:rStyle w:val="PageNumber"/>
      </w:rPr>
      <w:tab/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927D14">
      <w:rPr>
        <w:rStyle w:val="PageNumber"/>
        <w:noProof/>
      </w:rPr>
      <w:t>1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  <w:bookmarkStart w:id="2" w:name="Draft2"/>
    <w:r w:rsidRPr="00057253">
      <w:rPr>
        <w:rStyle w:val="PageNumber"/>
      </w:rPr>
      <w:fldChar w:fldCharType="begin"/>
    </w:r>
    <w:r w:rsidRPr="00057253">
      <w:rPr>
        <w:rStyle w:val="PageNumber"/>
      </w:rPr>
      <w:instrText xml:space="preserve"> DATE \@ "MM/dd/yy" </w:instrText>
    </w:r>
    <w:r w:rsidRPr="00057253">
      <w:rPr>
        <w:rStyle w:val="PageNumber"/>
      </w:rPr>
      <w:fldChar w:fldCharType="separate"/>
    </w:r>
    <w:r w:rsidR="00927D14">
      <w:rPr>
        <w:rStyle w:val="PageNumber"/>
        <w:noProof/>
      </w:rPr>
      <w:t>03/08/18</w:t>
    </w:r>
    <w:r w:rsidRPr="00057253">
      <w:rPr>
        <w:rStyle w:val="PageNumber"/>
      </w:rPr>
      <w:fldChar w:fldCharType="end"/>
    </w:r>
    <w:r w:rsidRPr="00057253">
      <w:rPr>
        <w:rStyle w:val="PageNumber"/>
      </w:rPr>
      <w:t xml:space="preserve"> </w:t>
    </w:r>
    <w:r w:rsidRPr="00057253">
      <w:rPr>
        <w:rStyle w:val="PageNumber"/>
      </w:rPr>
      <w:fldChar w:fldCharType="begin"/>
    </w:r>
    <w:r w:rsidRPr="00057253">
      <w:rPr>
        <w:rStyle w:val="PageNumber"/>
      </w:rPr>
      <w:instrText xml:space="preserve"> TIME \@ "h:mm AM/PM" </w:instrText>
    </w:r>
    <w:r w:rsidRPr="00057253">
      <w:rPr>
        <w:rStyle w:val="PageNumber"/>
      </w:rPr>
      <w:fldChar w:fldCharType="separate"/>
    </w:r>
    <w:r w:rsidR="00927D14">
      <w:rPr>
        <w:rStyle w:val="PageNumber"/>
        <w:noProof/>
      </w:rPr>
      <w:t>9:40 AM</w:t>
    </w:r>
    <w:r w:rsidRPr="00057253">
      <w:rPr>
        <w:rStyle w:val="PageNumber"/>
      </w:rP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D306B" w14:textId="77777777" w:rsidR="00896AB4" w:rsidRDefault="00896AB4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2DFB5C1A" w14:textId="77777777" w:rsidR="00896AB4" w:rsidRDefault="00896AB4" w:rsidP="00203E3B">
      <w:pPr>
        <w:spacing w:line="240" w:lineRule="auto"/>
        <w:ind w:firstLine="0"/>
      </w:pPr>
      <w:r>
        <w:separator/>
      </w:r>
    </w:p>
    <w:p w14:paraId="1F090EF7" w14:textId="77777777" w:rsidR="00896AB4" w:rsidRPr="00157CA2" w:rsidRDefault="00896AB4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7C432" w14:textId="2259A4AB" w:rsidR="00294B21" w:rsidRPr="00C44B5B" w:rsidRDefault="00AE455A" w:rsidP="002E3E35">
    <w:pPr>
      <w:pStyle w:val="Header"/>
      <w:rPr>
        <w:rFonts w:cs="Arial"/>
        <w:i/>
        <w:szCs w:val="14"/>
      </w:rPr>
    </w:pPr>
    <w:r>
      <w:t xml:space="preserve">Calworks 2.0 – </w:t>
    </w:r>
    <w:r w:rsidR="00927D14">
      <w:t xml:space="preserve"> </w:t>
    </w:r>
    <w:r>
      <w:t xml:space="preserve"> county road test</w:t>
    </w:r>
    <w:r w:rsidR="00294B21" w:rsidRPr="006F6DD5">
      <w:tab/>
      <w:t>MATHEMATICA POLICY RESEARCH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0748D"/>
    <w:multiLevelType w:val="hybridMultilevel"/>
    <w:tmpl w:val="53126FD8"/>
    <w:lvl w:ilvl="0" w:tplc="23864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F6D740">
      <w:start w:val="3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600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0F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DC1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58A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D6E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EC0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840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C6FE9"/>
    <w:multiLevelType w:val="hybridMultilevel"/>
    <w:tmpl w:val="3D7C4EDA"/>
    <w:lvl w:ilvl="0" w:tplc="72BAB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785CE4">
      <w:start w:val="3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1C2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0F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B61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508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BE7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BA6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8EE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0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2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4"/>
  </w:num>
  <w:num w:numId="4">
    <w:abstractNumId w:val="6"/>
  </w:num>
  <w:num w:numId="5">
    <w:abstractNumId w:val="23"/>
  </w:num>
  <w:num w:numId="6">
    <w:abstractNumId w:val="25"/>
  </w:num>
  <w:num w:numId="7">
    <w:abstractNumId w:val="19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3"/>
  </w:num>
  <w:num w:numId="18">
    <w:abstractNumId w:val="9"/>
  </w:num>
  <w:num w:numId="19">
    <w:abstractNumId w:val="15"/>
  </w:num>
  <w:num w:numId="20">
    <w:abstractNumId w:val="4"/>
  </w:num>
  <w:num w:numId="21">
    <w:abstractNumId w:val="17"/>
  </w:num>
  <w:num w:numId="22">
    <w:abstractNumId w:val="2"/>
  </w:num>
  <w:num w:numId="23">
    <w:abstractNumId w:val="10"/>
  </w:num>
  <w:num w:numId="24">
    <w:abstractNumId w:val="21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20"/>
  </w:num>
  <w:num w:numId="30">
    <w:abstractNumId w:val="18"/>
  </w:num>
  <w:num w:numId="31">
    <w:abstractNumId w:val="3"/>
  </w:num>
  <w:num w:numId="32">
    <w:abstractNumId w:val="13"/>
    <w:lvlOverride w:ilvl="0">
      <w:startOverride w:val="1"/>
    </w:lvlOverride>
  </w:num>
  <w:num w:numId="33">
    <w:abstractNumId w:val="8"/>
  </w:num>
  <w:num w:numId="34">
    <w:abstractNumId w:val="16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55A"/>
    <w:rsid w:val="000030B1"/>
    <w:rsid w:val="00010CEE"/>
    <w:rsid w:val="00012492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4638"/>
    <w:rsid w:val="00047BDD"/>
    <w:rsid w:val="000512A5"/>
    <w:rsid w:val="00056BC1"/>
    <w:rsid w:val="000575D5"/>
    <w:rsid w:val="000578BB"/>
    <w:rsid w:val="00060579"/>
    <w:rsid w:val="000633AA"/>
    <w:rsid w:val="000635FB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8A3"/>
    <w:rsid w:val="001739F1"/>
    <w:rsid w:val="001756B2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1F694A"/>
    <w:rsid w:val="00200E29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6DBF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1FE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364E1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631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342"/>
    <w:rsid w:val="003A0C7A"/>
    <w:rsid w:val="003A16DA"/>
    <w:rsid w:val="003A3ADA"/>
    <w:rsid w:val="003A4B45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26EF"/>
    <w:rsid w:val="004644AD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4F3D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57EC"/>
    <w:rsid w:val="00526576"/>
    <w:rsid w:val="00526D08"/>
    <w:rsid w:val="00535221"/>
    <w:rsid w:val="0053540D"/>
    <w:rsid w:val="0053566A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C7208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5069E"/>
    <w:rsid w:val="00650D29"/>
    <w:rsid w:val="0066062F"/>
    <w:rsid w:val="00660765"/>
    <w:rsid w:val="0066273C"/>
    <w:rsid w:val="00671099"/>
    <w:rsid w:val="0067358F"/>
    <w:rsid w:val="0067395C"/>
    <w:rsid w:val="00676A56"/>
    <w:rsid w:val="00681711"/>
    <w:rsid w:val="0068215C"/>
    <w:rsid w:val="0068230E"/>
    <w:rsid w:val="0069799C"/>
    <w:rsid w:val="00697E5B"/>
    <w:rsid w:val="006A465C"/>
    <w:rsid w:val="006A4FFC"/>
    <w:rsid w:val="006A6D7D"/>
    <w:rsid w:val="006A73F8"/>
    <w:rsid w:val="006B01EF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840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4A19"/>
    <w:rsid w:val="00766D50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A7C37"/>
    <w:rsid w:val="007B1192"/>
    <w:rsid w:val="007B1305"/>
    <w:rsid w:val="007B1E87"/>
    <w:rsid w:val="007C6B92"/>
    <w:rsid w:val="007C7719"/>
    <w:rsid w:val="007D2AD5"/>
    <w:rsid w:val="007D6A90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070CD"/>
    <w:rsid w:val="00811638"/>
    <w:rsid w:val="00814AE7"/>
    <w:rsid w:val="00815382"/>
    <w:rsid w:val="0082010C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69CB"/>
    <w:rsid w:val="00877B02"/>
    <w:rsid w:val="008813AB"/>
    <w:rsid w:val="0088174A"/>
    <w:rsid w:val="00882E5C"/>
    <w:rsid w:val="0089611E"/>
    <w:rsid w:val="00896AB4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53B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0601A"/>
    <w:rsid w:val="009101DB"/>
    <w:rsid w:val="00910B00"/>
    <w:rsid w:val="0091313F"/>
    <w:rsid w:val="00914549"/>
    <w:rsid w:val="009147A0"/>
    <w:rsid w:val="009157C5"/>
    <w:rsid w:val="00916365"/>
    <w:rsid w:val="0091711A"/>
    <w:rsid w:val="00917F77"/>
    <w:rsid w:val="009228A9"/>
    <w:rsid w:val="0092292E"/>
    <w:rsid w:val="009250ED"/>
    <w:rsid w:val="009259C2"/>
    <w:rsid w:val="00927D14"/>
    <w:rsid w:val="00931483"/>
    <w:rsid w:val="009315B2"/>
    <w:rsid w:val="0093204A"/>
    <w:rsid w:val="00932372"/>
    <w:rsid w:val="00932E4E"/>
    <w:rsid w:val="00935598"/>
    <w:rsid w:val="00940BA2"/>
    <w:rsid w:val="00944C5E"/>
    <w:rsid w:val="0094508C"/>
    <w:rsid w:val="009555B9"/>
    <w:rsid w:val="0095642D"/>
    <w:rsid w:val="00960E87"/>
    <w:rsid w:val="00962492"/>
    <w:rsid w:val="009625E7"/>
    <w:rsid w:val="00964824"/>
    <w:rsid w:val="00964B48"/>
    <w:rsid w:val="00970A65"/>
    <w:rsid w:val="00972C11"/>
    <w:rsid w:val="009766F4"/>
    <w:rsid w:val="00976BF5"/>
    <w:rsid w:val="00980BC3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0EF5"/>
    <w:rsid w:val="00A73E60"/>
    <w:rsid w:val="00A74AFC"/>
    <w:rsid w:val="00A80894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D4395"/>
    <w:rsid w:val="00AE3DBB"/>
    <w:rsid w:val="00AE455A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63460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485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D1644"/>
    <w:rsid w:val="00BE18A5"/>
    <w:rsid w:val="00BE266D"/>
    <w:rsid w:val="00BE33C8"/>
    <w:rsid w:val="00BE3800"/>
    <w:rsid w:val="00BE6894"/>
    <w:rsid w:val="00BF1CE7"/>
    <w:rsid w:val="00BF39D4"/>
    <w:rsid w:val="00BF3F82"/>
    <w:rsid w:val="00BF55F6"/>
    <w:rsid w:val="00BF5B09"/>
    <w:rsid w:val="00BF7326"/>
    <w:rsid w:val="00C0114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64D13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B7B56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0EA"/>
    <w:rsid w:val="00D05BD4"/>
    <w:rsid w:val="00D13A18"/>
    <w:rsid w:val="00D154AE"/>
    <w:rsid w:val="00D15E8A"/>
    <w:rsid w:val="00D170E4"/>
    <w:rsid w:val="00D17BAD"/>
    <w:rsid w:val="00D17FE5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3EE3"/>
    <w:rsid w:val="00D83F24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B7BA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0797D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01E4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5004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0964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8042E"/>
  <w15:docId w15:val="{063C56F3-F215-4A3D-91D9-9B4B2C9B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table" w:styleId="GridTable4-Accent1">
    <w:name w:val="Grid Table 4 Accent 1"/>
    <w:basedOn w:val="TableNormal"/>
    <w:uiPriority w:val="49"/>
    <w:rsid w:val="00C0114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0635FB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917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56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182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7277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593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523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904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96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26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121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196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58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083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28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75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23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897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1005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946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684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6318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1410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7457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6504C-0A4C-44EE-8230-2826B4B1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5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NNicolai</dc:creator>
  <cp:lastModifiedBy>Rachel Nicolosi</cp:lastModifiedBy>
  <cp:revision>2</cp:revision>
  <dcterms:created xsi:type="dcterms:W3CDTF">2018-03-08T15:42:00Z</dcterms:created>
  <dcterms:modified xsi:type="dcterms:W3CDTF">2018-03-08T15:42:00Z</dcterms:modified>
</cp:coreProperties>
</file>